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562A" w14:textId="7777777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14:paraId="254B5BC1" w14:textId="7777777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14:paraId="570BD46D" w14:textId="7777777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14:paraId="7BE14737" w14:textId="77777777"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14:paraId="0C75FF39" w14:textId="77777777" w:rsidR="00900D93" w:rsidRPr="003206AC" w:rsidRDefault="000F3249" w:rsidP="002C21DA">
      <w:pPr>
        <w:pStyle w:val="Sinespaciado"/>
        <w:rPr>
          <w:rFonts w:eastAsia="Arial" w:cs="Arial"/>
          <w:b/>
          <w:color w:val="000000"/>
        </w:rPr>
      </w:pPr>
      <w:r w:rsidRPr="003206AC">
        <w:rPr>
          <w:rFonts w:eastAsia="Arial" w:cs="Arial"/>
          <w:b/>
          <w:color w:val="000000"/>
        </w:rPr>
        <w:t xml:space="preserve">TEXTO DEFINITIVO APROBADO EN PRIMER DEBATE DEL </w:t>
      </w:r>
      <w:r w:rsidRPr="003206AC">
        <w:rPr>
          <w:rFonts w:eastAsia="Arial" w:cs="Arial"/>
          <w:b/>
        </w:rPr>
        <w:t xml:space="preserve">PROYECTO DE LEY </w:t>
      </w:r>
      <w:r w:rsidR="007534E3" w:rsidRPr="005E0AF4">
        <w:rPr>
          <w:rFonts w:eastAsia="Arial MT" w:cs="Arial"/>
          <w:b/>
          <w:bCs/>
          <w:lang w:val="es-ES" w:eastAsia="en-US"/>
        </w:rPr>
        <w:t xml:space="preserve">No. 081 DE 2024 </w:t>
      </w:r>
      <w:r w:rsidR="007534E3" w:rsidRPr="005E0AF4">
        <w:rPr>
          <w:rFonts w:eastAsia="Arial MT" w:cs="Arial"/>
          <w:b/>
          <w:lang w:val="es-ES" w:eastAsia="en-US"/>
        </w:rPr>
        <w:t xml:space="preserve">CÁMARA “POR MEDIO DE LA CUAL SE FORTALECEN LAS </w:t>
      </w:r>
      <w:r w:rsidR="007534E3">
        <w:rPr>
          <w:rFonts w:eastAsia="Arial MT" w:cs="Arial"/>
          <w:b/>
          <w:lang w:val="es-ES" w:eastAsia="en-US"/>
        </w:rPr>
        <w:t xml:space="preserve">JUNTAS DE ACCIÓN COMUNAL </w:t>
      </w:r>
      <w:r w:rsidR="007534E3" w:rsidRPr="005E0AF4">
        <w:rPr>
          <w:rFonts w:eastAsia="Arial MT" w:cs="Arial"/>
          <w:b/>
          <w:lang w:val="es-ES" w:eastAsia="en-US"/>
        </w:rPr>
        <w:t>Y OTROS ORGANISMOS COMUNALES COMO ORGANIZACIONES DE LA ECONOMÍA POPULAR, COMUNITARIA Y SOLIDARIA”.</w:t>
      </w:r>
    </w:p>
    <w:p w14:paraId="25CCD319" w14:textId="77777777" w:rsidR="00931B69" w:rsidRPr="003206AC" w:rsidRDefault="00931B69" w:rsidP="009A5477">
      <w:pPr>
        <w:pStyle w:val="Sinespaciado"/>
        <w:jc w:val="center"/>
        <w:rPr>
          <w:rFonts w:cs="Arial"/>
        </w:rPr>
      </w:pPr>
    </w:p>
    <w:p w14:paraId="3DCB320F" w14:textId="77777777" w:rsidR="00900D93" w:rsidRPr="00992397" w:rsidRDefault="000F3249" w:rsidP="009A5477">
      <w:pPr>
        <w:pStyle w:val="Sinespaciado"/>
        <w:jc w:val="center"/>
        <w:rPr>
          <w:rFonts w:cs="Arial"/>
          <w:sz w:val="21"/>
          <w:szCs w:val="21"/>
        </w:rPr>
      </w:pPr>
      <w:r w:rsidRPr="00992397">
        <w:rPr>
          <w:rFonts w:cs="Arial"/>
          <w:sz w:val="21"/>
          <w:szCs w:val="21"/>
        </w:rPr>
        <w:t>(Aprobado en la</w:t>
      </w:r>
      <w:r w:rsidR="00722B7D" w:rsidRPr="00992397">
        <w:rPr>
          <w:rFonts w:cs="Arial"/>
          <w:sz w:val="21"/>
          <w:szCs w:val="21"/>
        </w:rPr>
        <w:t xml:space="preserve"> sesión</w:t>
      </w:r>
      <w:r w:rsidR="00874E4E" w:rsidRPr="00992397">
        <w:rPr>
          <w:rFonts w:cs="Arial"/>
          <w:sz w:val="21"/>
          <w:szCs w:val="21"/>
        </w:rPr>
        <w:t xml:space="preserve"> presencial </w:t>
      </w:r>
      <w:r w:rsidR="00722B7D" w:rsidRPr="00992397">
        <w:rPr>
          <w:rFonts w:cs="Arial"/>
          <w:sz w:val="21"/>
          <w:szCs w:val="21"/>
        </w:rPr>
        <w:t>del</w:t>
      </w:r>
      <w:r w:rsidR="00874E4E" w:rsidRPr="00992397">
        <w:rPr>
          <w:rFonts w:cs="Arial"/>
          <w:sz w:val="21"/>
          <w:szCs w:val="21"/>
        </w:rPr>
        <w:t xml:space="preserve"> </w:t>
      </w:r>
      <w:r w:rsidR="007534E3">
        <w:rPr>
          <w:rFonts w:cs="Arial"/>
          <w:sz w:val="21"/>
          <w:szCs w:val="21"/>
        </w:rPr>
        <w:t xml:space="preserve">3 de junio </w:t>
      </w:r>
      <w:r w:rsidR="00344B4D" w:rsidRPr="00992397">
        <w:rPr>
          <w:rFonts w:cs="Arial"/>
          <w:sz w:val="21"/>
          <w:szCs w:val="21"/>
        </w:rPr>
        <w:t>de 202</w:t>
      </w:r>
      <w:r w:rsidR="00D7787B" w:rsidRPr="00992397">
        <w:rPr>
          <w:rFonts w:cs="Arial"/>
          <w:sz w:val="21"/>
          <w:szCs w:val="21"/>
        </w:rPr>
        <w:t>5</w:t>
      </w:r>
      <w:r w:rsidR="009A5477" w:rsidRPr="00992397">
        <w:rPr>
          <w:rFonts w:cs="Arial"/>
          <w:sz w:val="21"/>
          <w:szCs w:val="21"/>
        </w:rPr>
        <w:t xml:space="preserve">, Comisión VII Constitucional </w:t>
      </w:r>
      <w:r w:rsidRPr="00992397">
        <w:rPr>
          <w:rFonts w:cs="Arial"/>
          <w:sz w:val="21"/>
          <w:szCs w:val="21"/>
        </w:rPr>
        <w:t xml:space="preserve">Permanente de la H. Cámara de Representantes, </w:t>
      </w:r>
      <w:r w:rsidR="009A5477" w:rsidRPr="00992397">
        <w:rPr>
          <w:rFonts w:cs="Arial"/>
          <w:sz w:val="21"/>
          <w:szCs w:val="21"/>
        </w:rPr>
        <w:t>a</w:t>
      </w:r>
      <w:r w:rsidRPr="00992397">
        <w:rPr>
          <w:rFonts w:cs="Arial"/>
          <w:sz w:val="21"/>
          <w:szCs w:val="21"/>
        </w:rPr>
        <w:t xml:space="preserve">cta No. </w:t>
      </w:r>
      <w:r w:rsidR="008654CA" w:rsidRPr="00992397">
        <w:rPr>
          <w:rFonts w:cs="Arial"/>
          <w:sz w:val="21"/>
          <w:szCs w:val="21"/>
        </w:rPr>
        <w:t>3</w:t>
      </w:r>
      <w:r w:rsidR="007534E3">
        <w:rPr>
          <w:rFonts w:cs="Arial"/>
          <w:sz w:val="21"/>
          <w:szCs w:val="21"/>
        </w:rPr>
        <w:t>4</w:t>
      </w:r>
      <w:r w:rsidRPr="00992397">
        <w:rPr>
          <w:rFonts w:cs="Arial"/>
          <w:sz w:val="21"/>
          <w:szCs w:val="21"/>
        </w:rPr>
        <w:t>)</w:t>
      </w:r>
    </w:p>
    <w:p w14:paraId="374C4A55" w14:textId="77777777" w:rsidR="00900D93" w:rsidRPr="00992397" w:rsidRDefault="000F3249" w:rsidP="00D410FE">
      <w:pPr>
        <w:spacing w:before="240" w:after="0" w:line="240" w:lineRule="atLeast"/>
        <w:jc w:val="center"/>
        <w:rPr>
          <w:rFonts w:ascii="Arial" w:eastAsia="Arial" w:hAnsi="Arial" w:cs="Arial"/>
          <w:b/>
          <w:sz w:val="21"/>
          <w:szCs w:val="21"/>
        </w:rPr>
      </w:pPr>
      <w:r w:rsidRPr="00992397">
        <w:rPr>
          <w:rFonts w:ascii="Arial" w:eastAsia="Arial" w:hAnsi="Arial" w:cs="Arial"/>
          <w:b/>
          <w:sz w:val="21"/>
          <w:szCs w:val="21"/>
        </w:rPr>
        <w:t>EL CONGRESO DE COLOMBIA</w:t>
      </w:r>
    </w:p>
    <w:p w14:paraId="04CC7367" w14:textId="77777777" w:rsidR="00900D93" w:rsidRPr="00992397" w:rsidRDefault="000F3249" w:rsidP="00D410FE">
      <w:pPr>
        <w:spacing w:before="240" w:after="0" w:line="240" w:lineRule="atLeast"/>
        <w:jc w:val="center"/>
        <w:rPr>
          <w:rFonts w:ascii="Arial" w:eastAsia="Arial" w:hAnsi="Arial" w:cs="Arial"/>
          <w:b/>
          <w:sz w:val="21"/>
          <w:szCs w:val="21"/>
        </w:rPr>
      </w:pPr>
      <w:r w:rsidRPr="00992397">
        <w:rPr>
          <w:rFonts w:ascii="Arial" w:eastAsia="Arial" w:hAnsi="Arial" w:cs="Arial"/>
          <w:b/>
          <w:sz w:val="21"/>
          <w:szCs w:val="21"/>
        </w:rPr>
        <w:t>DECRETA:</w:t>
      </w:r>
    </w:p>
    <w:p w14:paraId="3273E5B3" w14:textId="77777777" w:rsidR="00D410FE" w:rsidRPr="00992397" w:rsidRDefault="00D410FE" w:rsidP="00D410FE">
      <w:pPr>
        <w:pStyle w:val="Sinespaciado"/>
        <w:spacing w:line="240" w:lineRule="atLeast"/>
        <w:rPr>
          <w:rFonts w:cs="Arial"/>
          <w:sz w:val="21"/>
          <w:szCs w:val="21"/>
        </w:rPr>
      </w:pPr>
    </w:p>
    <w:p w14:paraId="233FCF1C" w14:textId="77777777" w:rsidR="00ED732D" w:rsidRPr="006A6553" w:rsidRDefault="00ED732D" w:rsidP="00ED732D">
      <w:pPr>
        <w:pStyle w:val="Sinespaciado"/>
      </w:pPr>
      <w:r w:rsidRPr="006A6553">
        <w:rPr>
          <w:b/>
        </w:rPr>
        <w:t>ARTÍCULO 1. OBJETO.</w:t>
      </w:r>
      <w:r w:rsidRPr="006A6553">
        <w:t xml:space="preserve"> La presente ley tiene por objeto el fortalecimiento de los organismos comunales como organizaciones de la economía popular, comunitaria y solidaria.</w:t>
      </w:r>
    </w:p>
    <w:p w14:paraId="61F918CC" w14:textId="77777777" w:rsidR="00ED732D" w:rsidRPr="006A6553" w:rsidRDefault="00ED732D" w:rsidP="00ED732D">
      <w:pPr>
        <w:pStyle w:val="Sinespaciado"/>
        <w:rPr>
          <w:b/>
        </w:rPr>
      </w:pPr>
    </w:p>
    <w:p w14:paraId="2C3929B8" w14:textId="77777777" w:rsidR="007129CE" w:rsidRPr="007129CE" w:rsidRDefault="007129CE" w:rsidP="007129CE">
      <w:pPr>
        <w:pStyle w:val="Sinespaciado"/>
        <w:rPr>
          <w:rFonts w:cs="Arial"/>
        </w:rPr>
      </w:pPr>
      <w:r w:rsidRPr="007129CE">
        <w:rPr>
          <w:rFonts w:cs="Arial"/>
          <w:b/>
        </w:rPr>
        <w:t xml:space="preserve">ARTÍCULO 2. Definiciones. </w:t>
      </w:r>
      <w:r w:rsidRPr="007129CE">
        <w:rPr>
          <w:rFonts w:cs="Arial"/>
        </w:rPr>
        <w:t xml:space="preserve">Para la aplicación de la presente ley, se tendrán en cuenta las siguientes definiciones: </w:t>
      </w:r>
    </w:p>
    <w:p w14:paraId="280248FE" w14:textId="77777777" w:rsidR="007129CE" w:rsidRPr="007129CE" w:rsidRDefault="007129CE" w:rsidP="007129CE">
      <w:pPr>
        <w:pStyle w:val="Sinespaciado"/>
        <w:rPr>
          <w:rFonts w:eastAsia="Times New Roman" w:cs="Arial"/>
          <w:lang w:eastAsia="en-US"/>
        </w:rPr>
      </w:pPr>
    </w:p>
    <w:p w14:paraId="7AB7073F" w14:textId="77777777" w:rsidR="007129CE" w:rsidRPr="007129CE" w:rsidRDefault="007129CE" w:rsidP="007129CE">
      <w:pPr>
        <w:pStyle w:val="Sinespaciado"/>
        <w:rPr>
          <w:rFonts w:cs="Arial"/>
        </w:rPr>
      </w:pPr>
      <w:r w:rsidRPr="007129CE">
        <w:rPr>
          <w:rFonts w:cs="Arial"/>
          <w:b/>
        </w:rPr>
        <w:t xml:space="preserve">Economía popular. </w:t>
      </w:r>
      <w:r w:rsidRPr="007129CE">
        <w:rPr>
          <w:rFonts w:cs="Arial"/>
        </w:rPr>
        <w:t>Se denomina Economía Popular,</w:t>
      </w:r>
      <w:r w:rsidRPr="007129CE">
        <w:rPr>
          <w:rFonts w:cs="Arial"/>
          <w:color w:val="92D050"/>
        </w:rPr>
        <w:t xml:space="preserve"> </w:t>
      </w:r>
      <w:r w:rsidRPr="007129CE">
        <w:rPr>
          <w:rFonts w:cs="Arial"/>
        </w:rPr>
        <w:t>a la forma de organización económica, productiva, ambiental, social y cultural conformada por las actividades, los oficios y ocupaciones mercantiles (producción, distribución y comercialización de bienes y servicios) y no mercantiles (de autoconsumo, domésticas, o comunitarias) desarrolladas por unidades económicas personales, familiares, o microempresas populares, en cualquier sector económico, para satisfacer necesidades. La Economía popular constituye un conjunto de actividades, recursos, instituciones y organizaciones populares, que operan en torno a la satisfacción de necesidades de sus integrantes, bajo la lógica de la subsistencia y de la reproducción de la vida, basada en relaciones de parentesco, solidaridad y reciprocidad. La Economía Popular coexiste e interactúa con las formas de organización económica Privada y Pública, la ejercen sujetos que frecuentemente combinan estas ocupaciones autogestionadas con la venta de su fuerza de trabajo asalariado y en muchos casos sus actividades provienen o se desarrollan dentro de un marco comunitario.</w:t>
      </w:r>
    </w:p>
    <w:p w14:paraId="5A9DE6F5" w14:textId="77777777" w:rsidR="007129CE" w:rsidRPr="007129CE" w:rsidRDefault="007129CE" w:rsidP="007129CE">
      <w:pPr>
        <w:pStyle w:val="Sinespaciado"/>
        <w:rPr>
          <w:rFonts w:eastAsia="Times New Roman" w:cs="Arial"/>
          <w:lang w:eastAsia="en-US"/>
        </w:rPr>
      </w:pPr>
    </w:p>
    <w:p w14:paraId="76B23492" w14:textId="77777777" w:rsidR="007129CE" w:rsidRPr="007129CE" w:rsidRDefault="007129CE" w:rsidP="007129CE">
      <w:pPr>
        <w:pStyle w:val="Sinespaciado"/>
        <w:rPr>
          <w:rFonts w:cs="Arial"/>
        </w:rPr>
      </w:pPr>
      <w:r w:rsidRPr="007129CE">
        <w:rPr>
          <w:rFonts w:cs="Arial"/>
          <w:b/>
          <w:i/>
        </w:rPr>
        <w:t>Alianza público-popular:</w:t>
      </w:r>
      <w:r w:rsidRPr="007129CE">
        <w:rPr>
          <w:rFonts w:cs="Arial"/>
          <w:b/>
        </w:rPr>
        <w:t xml:space="preserve"> </w:t>
      </w:r>
      <w:r w:rsidRPr="007129CE">
        <w:rPr>
          <w:rFonts w:cs="Arial"/>
          <w:bCs/>
        </w:rPr>
        <w:t>E</w:t>
      </w:r>
      <w:r w:rsidRPr="007129CE">
        <w:rPr>
          <w:rFonts w:cs="Arial"/>
        </w:rPr>
        <w:t xml:space="preserve">s un acuerdo entre los actores de la economía popular y el Estado, con vinculación concreta a un espacio territorial público o privado, cuyo objetivo principal es la solución de necesidades esenciales de una comunidad. </w:t>
      </w:r>
    </w:p>
    <w:p w14:paraId="2D97B0A3" w14:textId="77777777" w:rsidR="00ED732D" w:rsidRPr="007129CE" w:rsidRDefault="00ED732D" w:rsidP="007129CE">
      <w:pPr>
        <w:pStyle w:val="Sinespaciado"/>
        <w:rPr>
          <w:rFonts w:cs="Arial"/>
        </w:rPr>
      </w:pPr>
      <w:r w:rsidRPr="007129CE">
        <w:rPr>
          <w:rFonts w:cs="Arial"/>
        </w:rPr>
        <w:t xml:space="preserve"> </w:t>
      </w:r>
    </w:p>
    <w:p w14:paraId="2F6030C3" w14:textId="77777777" w:rsidR="007129CE" w:rsidRPr="007129CE" w:rsidRDefault="007129CE" w:rsidP="007129CE">
      <w:pPr>
        <w:pStyle w:val="Sinespaciado"/>
        <w:rPr>
          <w:b/>
        </w:rPr>
      </w:pPr>
      <w:r w:rsidRPr="007129CE">
        <w:rPr>
          <w:b/>
        </w:rPr>
        <w:t xml:space="preserve">ARTÍCULO 3. Adiciónense los parágrafos 3 y 4 al artículo 79 de la Ley 2166 de 2021. </w:t>
      </w:r>
    </w:p>
    <w:p w14:paraId="183B70A0" w14:textId="77777777" w:rsidR="007129CE" w:rsidRDefault="007129CE" w:rsidP="007129CE">
      <w:pPr>
        <w:pStyle w:val="Sinespaciado"/>
      </w:pPr>
    </w:p>
    <w:p w14:paraId="3B5C5E0D" w14:textId="77777777" w:rsidR="007129CE" w:rsidRPr="007129CE" w:rsidRDefault="007129CE" w:rsidP="007129CE">
      <w:pPr>
        <w:pStyle w:val="Sinespaciado"/>
      </w:pPr>
      <w:r w:rsidRPr="007129CE">
        <w:rPr>
          <w:b/>
        </w:rPr>
        <w:t>Parágrafo tercero:</w:t>
      </w:r>
      <w:r w:rsidRPr="007129CE">
        <w:t xml:space="preserve"> En cumplimiento de lo dispuesto en el artículo 90 de la Ley 2294 de 2023, el Departamento Administrativo Nacional de Estadística – DANE incluirá en el Sistema de Información Estadístico para la Economía Popular una marcación de los organismos comunales como forma de asociación de economía popular y comunitaria, con el propósito de fortalecer el sistema de información de los organismos comunales y sus asociados.</w:t>
      </w:r>
    </w:p>
    <w:p w14:paraId="6190EDD7" w14:textId="77777777" w:rsidR="007129CE" w:rsidRPr="007129CE" w:rsidRDefault="007129CE" w:rsidP="007129CE">
      <w:pPr>
        <w:pStyle w:val="Sinespaciado"/>
      </w:pPr>
    </w:p>
    <w:p w14:paraId="10013823" w14:textId="77777777" w:rsidR="007129CE" w:rsidRPr="007129CE" w:rsidRDefault="007129CE" w:rsidP="007129CE">
      <w:pPr>
        <w:pStyle w:val="Sinespaciado"/>
      </w:pPr>
      <w:r w:rsidRPr="007129CE">
        <w:rPr>
          <w:b/>
        </w:rPr>
        <w:t>Parágrafo cuarto:</w:t>
      </w:r>
      <w:r w:rsidRPr="007129CE">
        <w:t xml:space="preserve"> El Sistema de Información Estadístico para la Economía Popular estará en concordancia con las disposiciones establecidas en la ley 2052 de 2020, en búsqueda de simplificar los trámites a las organizaciones de que trata la presente ley.</w:t>
      </w:r>
    </w:p>
    <w:p w14:paraId="19D340D4" w14:textId="77777777" w:rsidR="00ED732D" w:rsidRPr="006A6553" w:rsidRDefault="00ED732D" w:rsidP="00ED732D">
      <w:pPr>
        <w:pStyle w:val="Sinespaciado"/>
      </w:pPr>
      <w:r w:rsidRPr="006A6553">
        <w:rPr>
          <w:b/>
        </w:rPr>
        <w:lastRenderedPageBreak/>
        <w:t xml:space="preserve">ARTÍCULO 4. POLÍTICAS Y PROGRAMAS PARA EL FORTALECIMIENTO DE ORGANISMOS COMUNALES. </w:t>
      </w:r>
      <w:r w:rsidRPr="006A6553">
        <w:t xml:space="preserve">El Gobierno nacional y los gobiernos territoriales diseñarán e implementarán políticas públicas y programas que permitan el fortalecimiento social, organizacional, técnico y financiero de los organismos comunales de orden nacional, departamental, distrital y municipal. </w:t>
      </w:r>
    </w:p>
    <w:p w14:paraId="586ABBA3" w14:textId="77777777" w:rsidR="00ED732D" w:rsidRPr="006A6553" w:rsidRDefault="00ED732D" w:rsidP="00ED732D">
      <w:pPr>
        <w:pStyle w:val="Sinespaciado"/>
      </w:pPr>
    </w:p>
    <w:p w14:paraId="11AD4604" w14:textId="77777777" w:rsidR="00ED732D" w:rsidRPr="006A6553" w:rsidRDefault="00ED732D" w:rsidP="00ED732D">
      <w:pPr>
        <w:pStyle w:val="Sinespaciado"/>
      </w:pPr>
      <w:r w:rsidRPr="006A6553">
        <w:rPr>
          <w:b/>
        </w:rPr>
        <w:t xml:space="preserve">ARTÍCULO 5. FORTALECIMIENTO SOCIAL DE LOS ORGANISMOS COMUNALES. </w:t>
      </w:r>
      <w:r w:rsidRPr="006A6553">
        <w:t>En procura del fortalecimiento social de los organismos comunales, el Gobierno nacional y los gobiernos territoriales tendrán la obligación de diseñar e implementar programas de formación y capacitación dirigidos a organismos comunales y sus asociados en temáticas como organización social, gestión social, cohesión grupal, manejo de conflictos, trabajo en equipo, así como de asistencia y acompañamiento social para el fortalecimiento social de los organismos comunales, entre otros.</w:t>
      </w:r>
    </w:p>
    <w:p w14:paraId="3F63CD36" w14:textId="77777777" w:rsidR="00ED732D" w:rsidRPr="006A6553" w:rsidRDefault="00ED732D" w:rsidP="00ED732D">
      <w:pPr>
        <w:pStyle w:val="Sinespaciado"/>
      </w:pPr>
    </w:p>
    <w:p w14:paraId="72C46E93" w14:textId="77777777" w:rsidR="00ED732D" w:rsidRPr="006A6553" w:rsidRDefault="00ED732D" w:rsidP="00ED732D">
      <w:pPr>
        <w:pStyle w:val="Sinespaciado"/>
      </w:pPr>
      <w:r w:rsidRPr="006A6553">
        <w:t xml:space="preserve">Parágrafo: El Gobierno Nacional y las entidades territoriales en procura del fortalecimiento de los organismos comunales, serán responsables de brindar asistencia y asesoría técnica y administrativa a las </w:t>
      </w:r>
      <w:proofErr w:type="spellStart"/>
      <w:r w:rsidRPr="006A6553">
        <w:t>JACs</w:t>
      </w:r>
      <w:proofErr w:type="spellEnd"/>
      <w:r w:rsidRPr="006A6553">
        <w:t xml:space="preserve"> y organismos comunales en la formulación, gestión, y ejecución de programas, proyectos, convenios, contratos e inversiones que contribuyan a su fortalecimiento técnico, financiero y/</w:t>
      </w:r>
      <w:proofErr w:type="spellStart"/>
      <w:r w:rsidRPr="006A6553">
        <w:t>o</w:t>
      </w:r>
      <w:proofErr w:type="spellEnd"/>
      <w:r w:rsidRPr="006A6553">
        <w:t xml:space="preserve"> organizacional.</w:t>
      </w:r>
    </w:p>
    <w:p w14:paraId="74D2F50F" w14:textId="77777777" w:rsidR="00ED732D" w:rsidRPr="006A6553" w:rsidRDefault="00ED732D" w:rsidP="00ED732D">
      <w:pPr>
        <w:pStyle w:val="Sinespaciado"/>
        <w:rPr>
          <w:b/>
          <w:i/>
          <w:u w:val="single"/>
        </w:rPr>
      </w:pPr>
    </w:p>
    <w:p w14:paraId="5C1043CC" w14:textId="77777777" w:rsidR="007129CE" w:rsidRPr="007129CE" w:rsidRDefault="007129CE" w:rsidP="007129CE">
      <w:pPr>
        <w:pStyle w:val="Sinespaciado"/>
        <w:rPr>
          <w:rFonts w:cs="Arial"/>
        </w:rPr>
      </w:pPr>
      <w:r w:rsidRPr="007129CE">
        <w:rPr>
          <w:rFonts w:cs="Arial"/>
          <w:b/>
        </w:rPr>
        <w:t>ARTÍCULO</w:t>
      </w:r>
      <w:r w:rsidRPr="007129CE">
        <w:rPr>
          <w:rFonts w:cs="Arial"/>
          <w:b/>
          <w:color w:val="000000"/>
        </w:rPr>
        <w:t xml:space="preserve"> </w:t>
      </w:r>
      <w:r w:rsidR="000A1C35">
        <w:rPr>
          <w:rFonts w:cs="Arial"/>
          <w:b/>
          <w:color w:val="000000"/>
        </w:rPr>
        <w:t>6</w:t>
      </w:r>
      <w:r w:rsidRPr="007129CE">
        <w:rPr>
          <w:rFonts w:cs="Arial"/>
          <w:b/>
          <w:color w:val="000000"/>
        </w:rPr>
        <w:t xml:space="preserve">. FORTALECIMIENTO FINANCIERO DE ORGANISMOS COMUNALES.  </w:t>
      </w:r>
      <w:r w:rsidRPr="007129CE">
        <w:rPr>
          <w:rFonts w:cs="Arial"/>
        </w:rPr>
        <w:t>El Gobierno nacional y los gobiernos territoriales, a través de Ministerios, Secretarias y entidades como FINAGRO, BANCOLDEX, FINDETER, BANAGRARIO y otras entidades financieras, incluidas las cooperativas de ahorro y créditos, impulsarán líneas especiales de ahorro y crédito para el financiamiento y fortalecimiento de organismos comunales. Estas líneas estarán destinadas a fortalecer el financiamiento de capital de trabajo, activos productivos, proyectos y de otras necesidades financieras de los organismos comunales.</w:t>
      </w:r>
    </w:p>
    <w:p w14:paraId="7705D2FB" w14:textId="77777777" w:rsidR="007129CE" w:rsidRPr="007129CE" w:rsidRDefault="007129CE" w:rsidP="007129CE">
      <w:pPr>
        <w:pStyle w:val="Sinespaciado"/>
        <w:rPr>
          <w:rFonts w:cs="Arial"/>
          <w:color w:val="000000"/>
        </w:rPr>
      </w:pPr>
    </w:p>
    <w:p w14:paraId="357BDA46" w14:textId="77777777" w:rsidR="007129CE" w:rsidRPr="007129CE" w:rsidRDefault="007129CE" w:rsidP="007129CE">
      <w:pPr>
        <w:pStyle w:val="Sinespaciado"/>
        <w:rPr>
          <w:rFonts w:cs="Arial"/>
          <w:color w:val="000000"/>
        </w:rPr>
      </w:pPr>
      <w:r w:rsidRPr="007129CE">
        <w:rPr>
          <w:rFonts w:cs="Arial"/>
          <w:color w:val="000000"/>
        </w:rPr>
        <w:t>Las líneas especiales de ahorro y crédito se diseñarán de manera inclusiva, teniendo en cuenta las necesidades y características propias de los organismos comunales, así como las particularidades de sus actividades socioeconómicas y sus proyectos.</w:t>
      </w:r>
    </w:p>
    <w:p w14:paraId="6B718944" w14:textId="77777777" w:rsidR="007129CE" w:rsidRPr="007129CE" w:rsidRDefault="007129CE" w:rsidP="007129CE">
      <w:pPr>
        <w:pStyle w:val="Sinespaciado"/>
        <w:rPr>
          <w:rFonts w:cs="Arial"/>
          <w:color w:val="000000"/>
        </w:rPr>
      </w:pPr>
    </w:p>
    <w:p w14:paraId="7DABEDBC" w14:textId="77777777" w:rsidR="00ED732D" w:rsidRPr="007129CE" w:rsidRDefault="007129CE" w:rsidP="007129CE">
      <w:pPr>
        <w:pStyle w:val="Sinespaciado"/>
        <w:rPr>
          <w:rFonts w:cs="Arial"/>
        </w:rPr>
      </w:pPr>
      <w:r w:rsidRPr="007129CE">
        <w:rPr>
          <w:rFonts w:cs="Arial"/>
        </w:rPr>
        <w:t>Se fomentará la creación de instrumentos financieros adaptados a la realidad de los organismos comunales, como créditos con tasas de interés preferenciales, plazos flexibles y garantías alternativas. Asimismo, se promoverá la educación financiera y el acceso a servicios de asesoramiento técnico y empresarial para los organismos comunales, con el fin de mejorar su capacidad de gestión financiera y promover la sostenibilidad de sus proyectos.</w:t>
      </w:r>
    </w:p>
    <w:p w14:paraId="47CC4533" w14:textId="77777777" w:rsidR="00ED732D" w:rsidRPr="007129CE" w:rsidRDefault="00ED732D" w:rsidP="007129CE">
      <w:pPr>
        <w:pStyle w:val="Sinespaciado"/>
        <w:rPr>
          <w:rFonts w:cs="Arial"/>
        </w:rPr>
      </w:pPr>
    </w:p>
    <w:p w14:paraId="028791C5" w14:textId="77777777" w:rsidR="007129CE" w:rsidRPr="007129CE" w:rsidRDefault="007129CE" w:rsidP="007129CE">
      <w:pPr>
        <w:pStyle w:val="Sinespaciado"/>
        <w:rPr>
          <w:rFonts w:cs="Arial"/>
        </w:rPr>
      </w:pPr>
      <w:r w:rsidRPr="007129CE">
        <w:rPr>
          <w:rFonts w:cs="Arial"/>
          <w:b/>
        </w:rPr>
        <w:t xml:space="preserve">ARTÍCULO </w:t>
      </w:r>
      <w:r w:rsidR="000A1C35">
        <w:rPr>
          <w:rFonts w:cs="Arial"/>
          <w:b/>
        </w:rPr>
        <w:t>7</w:t>
      </w:r>
      <w:r w:rsidRPr="007129CE">
        <w:rPr>
          <w:rFonts w:cs="Arial"/>
          <w:b/>
        </w:rPr>
        <w:t>. FORTALECIMIENTO ORGANIZACIONAL DE LOS ORGANISMOS COMUNALES</w:t>
      </w:r>
      <w:r w:rsidRPr="007129CE">
        <w:rPr>
          <w:rFonts w:cs="Arial"/>
        </w:rPr>
        <w:t>. En procura del fortalecimiento organizacional de los organismos comunales, el Gobierno nacional y los gobiernos territoriales diseñarán e implementarán programas para tal efecto. Adicionalmente se habilitarán mecanismos, instrumentos y herramientas para el fortalecimiento organizacional de los organismos comunales tales como la creación de sociedades de economía mixta, alianzas público-populares y asociaciones público-populares con participación activa de organismos comunales.</w:t>
      </w:r>
    </w:p>
    <w:p w14:paraId="25EFD6AF" w14:textId="77777777" w:rsidR="007129CE" w:rsidRDefault="007129CE" w:rsidP="00ED732D">
      <w:pPr>
        <w:pStyle w:val="Sinespaciado"/>
        <w:rPr>
          <w:rFonts w:ascii="Arial Narrow" w:eastAsia="Arial Narrow" w:hAnsi="Arial Narrow" w:cs="Arial Narrow"/>
          <w:color w:val="000000"/>
          <w:sz w:val="24"/>
          <w:szCs w:val="24"/>
        </w:rPr>
      </w:pPr>
    </w:p>
    <w:p w14:paraId="7D0BC02E" w14:textId="77777777" w:rsidR="00ED732D" w:rsidRPr="006A6553" w:rsidRDefault="00ED732D" w:rsidP="00ED732D">
      <w:pPr>
        <w:pStyle w:val="Sinespaciado"/>
      </w:pPr>
      <w:r w:rsidRPr="006A6553">
        <w:rPr>
          <w:b/>
        </w:rPr>
        <w:t xml:space="preserve">ARTÍCULO </w:t>
      </w:r>
      <w:r w:rsidR="000A1C35">
        <w:rPr>
          <w:b/>
        </w:rPr>
        <w:t>8</w:t>
      </w:r>
      <w:r w:rsidRPr="006A6553">
        <w:rPr>
          <w:b/>
        </w:rPr>
        <w:t xml:space="preserve">. AUTORIZACIÓN PARA LA CREACIÓN DE SOCIEDADES DE ECONOMÍA MIXTA CON ORGANISMOS COMUNALES. </w:t>
      </w:r>
      <w:r w:rsidRPr="006A6553">
        <w:t>Autorícese a la nación y a las entidades territoriales la creación de sociedades de economía mixta con organismos comunales, cuyo objeto será el fomento de la agro-industrialización, la construcción de obras de infraestructura en vivienda, el mejoramiento y mantenimiento de vías terciarias así como de infraestructura deportiva y recreativa, la construcción de infraestructura de servicios públicos domiciliarios, saneamiento básico y de educación, la prestación de servicios públicos, la producción y comercialización de productos agropecuarios, la operación de programas estatales, entre otras actividades para satisfacer necesidades básicas.</w:t>
      </w:r>
    </w:p>
    <w:p w14:paraId="46D895ED" w14:textId="77777777" w:rsidR="00ED732D" w:rsidRPr="006A6553" w:rsidRDefault="00ED732D" w:rsidP="00ED732D">
      <w:pPr>
        <w:pStyle w:val="Sinespaciado"/>
        <w:rPr>
          <w:b/>
          <w:u w:val="single"/>
        </w:rPr>
      </w:pPr>
    </w:p>
    <w:p w14:paraId="7DFC909E" w14:textId="77777777" w:rsidR="00ED732D" w:rsidRPr="006A6553" w:rsidRDefault="00ED732D" w:rsidP="00ED732D">
      <w:pPr>
        <w:pStyle w:val="Sinespaciado"/>
      </w:pPr>
      <w:r w:rsidRPr="006A6553">
        <w:rPr>
          <w:b/>
        </w:rPr>
        <w:lastRenderedPageBreak/>
        <w:t>Parágrafo 1.</w:t>
      </w:r>
      <w:r w:rsidRPr="006A6553">
        <w:t xml:space="preserve"> La autorización aquí establecida se refiere a los organismos comunales en los términos del artículo 11 de la Ley 2166 de 2021, esto es, juntas de acción comunal, juntas de vivienda comunal, asociaciones y federaciones, bajo el cumplimiento de los requisitos allí establecidos.</w:t>
      </w:r>
    </w:p>
    <w:p w14:paraId="5D44F056" w14:textId="77777777" w:rsidR="00ED732D" w:rsidRPr="006A6553" w:rsidRDefault="00ED732D" w:rsidP="00ED732D">
      <w:pPr>
        <w:pStyle w:val="Sinespaciado"/>
      </w:pPr>
    </w:p>
    <w:p w14:paraId="38C505A9" w14:textId="77777777" w:rsidR="00ED732D" w:rsidRPr="006A6553" w:rsidRDefault="00ED732D" w:rsidP="00ED732D">
      <w:pPr>
        <w:pStyle w:val="Sinespaciado"/>
      </w:pPr>
      <w:r w:rsidRPr="006A6553">
        <w:rPr>
          <w:b/>
        </w:rPr>
        <w:t xml:space="preserve">Parágrafo 2. </w:t>
      </w:r>
      <w:r w:rsidRPr="006A6553">
        <w:t>Las entidades territoriales podrán autorizar, a través de una ordenanza departamental o un acuerdo municipal, la conformación de sociedades de economía mixta con los organismos de acción comunal que estén en su jurisdicción.</w:t>
      </w:r>
    </w:p>
    <w:p w14:paraId="7976E5E1" w14:textId="77777777" w:rsidR="00ED732D" w:rsidRPr="006A6553" w:rsidRDefault="00ED732D" w:rsidP="00ED732D">
      <w:pPr>
        <w:pStyle w:val="Sinespaciado"/>
      </w:pPr>
    </w:p>
    <w:p w14:paraId="615DDF7F" w14:textId="77777777" w:rsidR="00ED732D" w:rsidRPr="006A6553" w:rsidRDefault="00ED732D" w:rsidP="00ED732D">
      <w:pPr>
        <w:pStyle w:val="Sinespaciado"/>
      </w:pPr>
      <w:r w:rsidRPr="006A6553">
        <w:rPr>
          <w:b/>
        </w:rPr>
        <w:t xml:space="preserve">ARTÍCULO </w:t>
      </w:r>
      <w:r w:rsidR="000A1C35">
        <w:rPr>
          <w:b/>
        </w:rPr>
        <w:t>9</w:t>
      </w:r>
      <w:r w:rsidRPr="006A6553">
        <w:rPr>
          <w:b/>
        </w:rPr>
        <w:t xml:space="preserve">. OBJETIVOS ECONÓMICOS Y DE CONTRATACIÓN CON EL ESTADO DE LOS ORGANISMOS COMUNALES. </w:t>
      </w:r>
      <w:r w:rsidRPr="006A6553">
        <w:t xml:space="preserve">Modifíquese los literales f y g del artículo 16 de la Ley 2166 de 2021, los cuales quedarán de la siguiente manera: </w:t>
      </w:r>
    </w:p>
    <w:p w14:paraId="69540797" w14:textId="77777777" w:rsidR="00ED732D" w:rsidRPr="006A6553" w:rsidRDefault="00ED732D" w:rsidP="00ED732D">
      <w:pPr>
        <w:pStyle w:val="Sinespaciado"/>
      </w:pPr>
    </w:p>
    <w:p w14:paraId="57B420BE" w14:textId="77777777" w:rsidR="00ED732D" w:rsidRPr="006A6553" w:rsidRDefault="00ED732D" w:rsidP="00ED732D">
      <w:pPr>
        <w:pStyle w:val="Sinespaciado"/>
        <w:rPr>
          <w:i/>
        </w:rPr>
      </w:pPr>
      <w:r w:rsidRPr="006A6553">
        <w:rPr>
          <w:i/>
        </w:rPr>
        <w:t>“ARTÍCULO 16. Objetivos. Los organismos de acción comunal tienen los siguientes objetivos:</w:t>
      </w:r>
    </w:p>
    <w:p w14:paraId="345900A6" w14:textId="77777777" w:rsidR="00ED732D" w:rsidRPr="006A6553" w:rsidRDefault="00ED732D" w:rsidP="00ED732D">
      <w:pPr>
        <w:pStyle w:val="Sinespaciado"/>
        <w:rPr>
          <w:i/>
        </w:rPr>
      </w:pPr>
      <w:r w:rsidRPr="006A6553">
        <w:rPr>
          <w:i/>
        </w:rPr>
        <w:t>(…)</w:t>
      </w:r>
    </w:p>
    <w:p w14:paraId="557AC229" w14:textId="77777777" w:rsidR="00ED732D" w:rsidRPr="006A6553" w:rsidRDefault="00ED732D" w:rsidP="00ED732D">
      <w:pPr>
        <w:pStyle w:val="Sinespaciado"/>
        <w:rPr>
          <w:i/>
        </w:rPr>
      </w:pPr>
      <w:r w:rsidRPr="006A6553">
        <w:rPr>
          <w:i/>
        </w:rPr>
        <w:t>f) Celebrar contratos, convenios, alianzas y asociaciones público-populares con entidades del Estado, empresas públicas y privadas del orden internacional, nacional, departamental, distrital, municipal y local, sin límite de cuantía, con el fin de impulsar planes, programas y proyectos acordes con los planes comunales y comunitarios de desarrollo territorial, que incluyan el mantenimiento y mejoramiento de vías terciarias, la construcción, mejoramiento y operación de redes de acueducto y alcantarillado comunitario, la construcción y mejoramiento de viviendas así como de escenarios recreativos y deportivos, la ejecución del Programa de Alimentación Escolar – PAE en el territorio, programas deportivos, recreativos y culturales, entre otros.</w:t>
      </w:r>
    </w:p>
    <w:p w14:paraId="61778146" w14:textId="77777777" w:rsidR="00ED732D" w:rsidRPr="006A6553" w:rsidRDefault="00ED732D" w:rsidP="00ED732D">
      <w:pPr>
        <w:pStyle w:val="Sinespaciado"/>
        <w:rPr>
          <w:i/>
        </w:rPr>
      </w:pPr>
      <w:r w:rsidRPr="006A6553">
        <w:rPr>
          <w:i/>
        </w:rPr>
        <w:t>g) Crear y desarrollar procesos económicos de carácter colectivo y solidario, para lo cual podrán celebrar contratos de empréstito con entidades nacionales o internacionales, crear sociedades de economía mixta conjunto con los municipios, departamentos o la nación o asociarse con este tipo de sociedades en cualquier calidad, sea como accionistas con aportes de capital o industria, contrato de sociedad futura, acuerdos de colaboración empresarial, contratos de transferencia de tecnología, entre otros;</w:t>
      </w:r>
    </w:p>
    <w:p w14:paraId="40A7473A" w14:textId="77777777" w:rsidR="00ED732D" w:rsidRPr="006A6553" w:rsidRDefault="00ED732D" w:rsidP="00ED732D">
      <w:pPr>
        <w:pStyle w:val="Sinespaciado"/>
        <w:rPr>
          <w:i/>
        </w:rPr>
      </w:pPr>
      <w:r w:rsidRPr="006A6553">
        <w:rPr>
          <w:i/>
        </w:rPr>
        <w:t>(…)”.</w:t>
      </w:r>
    </w:p>
    <w:p w14:paraId="6C644C04" w14:textId="77777777" w:rsidR="00ED732D" w:rsidRPr="006A6553" w:rsidRDefault="00ED732D" w:rsidP="00ED732D">
      <w:pPr>
        <w:pStyle w:val="Sinespaciado"/>
      </w:pPr>
    </w:p>
    <w:p w14:paraId="5EC52E63" w14:textId="77777777" w:rsidR="00ED732D" w:rsidRPr="006A6553" w:rsidRDefault="00ED732D" w:rsidP="00ED732D">
      <w:pPr>
        <w:pStyle w:val="Sinespaciado"/>
      </w:pPr>
      <w:r w:rsidRPr="006A6553">
        <w:rPr>
          <w:b/>
        </w:rPr>
        <w:t>ARTÍCULO 1</w:t>
      </w:r>
      <w:r w:rsidR="000A1C35">
        <w:rPr>
          <w:b/>
        </w:rPr>
        <w:t>0</w:t>
      </w:r>
      <w:r w:rsidRPr="006A6553">
        <w:rPr>
          <w:b/>
        </w:rPr>
        <w:t xml:space="preserve">. REQUISITOS PONDERABLES. </w:t>
      </w:r>
      <w:r w:rsidRPr="006A6553">
        <w:t xml:space="preserve">Cuando un organismo comunal se presente como proponente para celebrar un contrato público con ocasión de lo dispuesto en esta Ley, se le </w:t>
      </w:r>
      <w:r w:rsidR="007129CE">
        <w:t xml:space="preserve">podrán </w:t>
      </w:r>
      <w:r w:rsidRPr="006A6553">
        <w:t>otorgar puntos adicionales en los requisitos ponderables, siempre y cuando cumplan con la totalidad de los requisitos de constitución definidos en el artículo 11 de la Ley 2166 de 2021.</w:t>
      </w:r>
    </w:p>
    <w:p w14:paraId="4D916C66" w14:textId="77777777" w:rsidR="00ED732D" w:rsidRPr="006A6553" w:rsidRDefault="00ED732D" w:rsidP="00ED732D">
      <w:pPr>
        <w:pStyle w:val="Sinespaciado"/>
      </w:pPr>
    </w:p>
    <w:p w14:paraId="5EF85620" w14:textId="77777777" w:rsidR="00ED732D" w:rsidRPr="006A6553" w:rsidRDefault="00ED732D" w:rsidP="00ED732D">
      <w:pPr>
        <w:pStyle w:val="Sinespaciado"/>
      </w:pPr>
      <w:r w:rsidRPr="006A6553">
        <w:rPr>
          <w:b/>
        </w:rPr>
        <w:t xml:space="preserve">Parágrafo: </w:t>
      </w:r>
      <w:r w:rsidRPr="006A6553">
        <w:t>E</w:t>
      </w:r>
      <w:r w:rsidR="000A1C35">
        <w:t>n tales casos el otorgamiento de los puntos adicionales debe estar fundamentado en estudio técnico del sector.</w:t>
      </w:r>
    </w:p>
    <w:p w14:paraId="780CF7FE" w14:textId="77777777" w:rsidR="00ED732D" w:rsidRPr="006A6553" w:rsidRDefault="00ED732D" w:rsidP="00ED732D">
      <w:pPr>
        <w:pStyle w:val="Sinespaciado"/>
      </w:pPr>
    </w:p>
    <w:p w14:paraId="2492BA78" w14:textId="77777777" w:rsidR="00ED732D" w:rsidRPr="006A6553" w:rsidRDefault="00ED732D" w:rsidP="00ED732D">
      <w:pPr>
        <w:pStyle w:val="Sinespaciado"/>
      </w:pPr>
      <w:r w:rsidRPr="006A6553">
        <w:rPr>
          <w:b/>
        </w:rPr>
        <w:t>ARTÍCULO 1</w:t>
      </w:r>
      <w:r w:rsidR="000A1C35">
        <w:rPr>
          <w:b/>
        </w:rPr>
        <w:t>1</w:t>
      </w:r>
      <w:r w:rsidRPr="006A6553">
        <w:rPr>
          <w:b/>
        </w:rPr>
        <w:t>.</w:t>
      </w:r>
      <w:r w:rsidRPr="006A6553">
        <w:t xml:space="preserve"> </w:t>
      </w:r>
      <w:r w:rsidRPr="006A6553">
        <w:rPr>
          <w:b/>
        </w:rPr>
        <w:t>COMPETENCIAS ADICIONALES.</w:t>
      </w:r>
      <w:r w:rsidRPr="006A6553">
        <w:t xml:space="preserve"> Además de los objetivos definidos en el artículo 16 de la Ley 2166 de 2021, los organismos comunales en municipios de categoría 4, 5 y 6 podrán:</w:t>
      </w:r>
    </w:p>
    <w:p w14:paraId="2C08565A" w14:textId="77777777" w:rsidR="00ED732D" w:rsidRPr="006A6553" w:rsidRDefault="00ED732D" w:rsidP="00ED732D">
      <w:pPr>
        <w:pStyle w:val="Sinespaciado"/>
      </w:pPr>
    </w:p>
    <w:p w14:paraId="56E57C7B" w14:textId="77777777" w:rsidR="00ED732D" w:rsidRPr="006A6553" w:rsidRDefault="00ED732D" w:rsidP="00ED732D">
      <w:pPr>
        <w:pStyle w:val="Sinespaciado"/>
      </w:pPr>
      <w:r w:rsidRPr="006A6553">
        <w:t>Participar con voz y sin voto en los Concejos Municipales cuando se debatan proyectos de acuerdo municipal que versen sobre desarrollo territorial, comunitario, agropecuario, economía popular-comunitaria y de servicios públicos domiciliarios.</w:t>
      </w:r>
    </w:p>
    <w:p w14:paraId="3CE566F5" w14:textId="77777777" w:rsidR="00ED732D" w:rsidRPr="006A6553" w:rsidRDefault="00ED732D" w:rsidP="00ED732D">
      <w:pPr>
        <w:pStyle w:val="Sinespaciado"/>
      </w:pPr>
      <w:r w:rsidRPr="006A6553">
        <w:t>Participar en las mesas departamentales de internacionalización y en cualquier foro dentro del Sistema Nacional de Competitividad e Innovación y demás instancias de diálogo que se creen entre el gobierno nacional y los gobiernos territoriales.</w:t>
      </w:r>
    </w:p>
    <w:p w14:paraId="47AB8A8A" w14:textId="77777777" w:rsidR="00ED732D" w:rsidRPr="006A6553" w:rsidRDefault="00ED732D" w:rsidP="00ED732D">
      <w:pPr>
        <w:pStyle w:val="Sinespaciado"/>
      </w:pPr>
    </w:p>
    <w:p w14:paraId="1AEE9931" w14:textId="77777777" w:rsidR="00ED732D" w:rsidRPr="006A6553" w:rsidRDefault="00ED732D" w:rsidP="00ED732D">
      <w:pPr>
        <w:pStyle w:val="Sinespaciado"/>
      </w:pPr>
      <w:r w:rsidRPr="006A6553">
        <w:rPr>
          <w:b/>
        </w:rPr>
        <w:t>Parágrafo.</w:t>
      </w:r>
      <w:r w:rsidRPr="006A6553">
        <w:t xml:space="preserve"> El Gobierno nacional reglamentará, en un plazo no mayor a un (1) año a partir de la entrada en vigencia de la presente ley, la participación de qué trata el literal a de este artículo.</w:t>
      </w:r>
    </w:p>
    <w:p w14:paraId="4E77A419" w14:textId="77777777" w:rsidR="00ED732D" w:rsidRPr="006A6553" w:rsidRDefault="00ED732D" w:rsidP="00ED732D">
      <w:pPr>
        <w:pStyle w:val="Sinespaciado"/>
      </w:pPr>
    </w:p>
    <w:p w14:paraId="5EDF2EDE" w14:textId="77777777" w:rsidR="00ED732D" w:rsidRPr="006A6553" w:rsidRDefault="00ED732D" w:rsidP="00ED732D">
      <w:pPr>
        <w:pStyle w:val="Sinespaciado"/>
      </w:pPr>
      <w:r w:rsidRPr="006A6553">
        <w:rPr>
          <w:b/>
        </w:rPr>
        <w:lastRenderedPageBreak/>
        <w:t>ARTÍCULO 1</w:t>
      </w:r>
      <w:r w:rsidR="000A1C35">
        <w:rPr>
          <w:b/>
        </w:rPr>
        <w:t>2</w:t>
      </w:r>
      <w:r w:rsidRPr="006A6553">
        <w:rPr>
          <w:b/>
        </w:rPr>
        <w:t xml:space="preserve">. BENEFICIOS PARA LOS DIGNATARIOS. </w:t>
      </w:r>
      <w:r w:rsidRPr="006A6553">
        <w:t>Modifíquese el literal a del artículo 39 de la Ley 2166 de 2021, el cual quedará así:</w:t>
      </w:r>
    </w:p>
    <w:p w14:paraId="3315E80B" w14:textId="77777777" w:rsidR="00ED732D" w:rsidRPr="006A6553" w:rsidRDefault="00ED732D" w:rsidP="00ED732D">
      <w:pPr>
        <w:pStyle w:val="Sinespaciado"/>
        <w:rPr>
          <w:i/>
        </w:rPr>
      </w:pPr>
    </w:p>
    <w:p w14:paraId="6A73CF53" w14:textId="77777777" w:rsidR="00ED732D" w:rsidRPr="006A6553" w:rsidRDefault="00ED732D" w:rsidP="00ED732D">
      <w:pPr>
        <w:pStyle w:val="Sinespaciado"/>
        <w:rPr>
          <w:i/>
        </w:rPr>
      </w:pPr>
      <w:r w:rsidRPr="006A6553">
        <w:rPr>
          <w:i/>
        </w:rPr>
        <w:t>“ARTÍCULO 39. BENEFICIOS PARA LOS DIGNATARIOS. Adicional a los que señalen los estatutos, los dignatarios de los organismos de acción comunal podrán tener los siguientes beneficios:</w:t>
      </w:r>
    </w:p>
    <w:p w14:paraId="77E5A17A" w14:textId="77777777" w:rsidR="00ED732D" w:rsidRPr="006A6553" w:rsidRDefault="00ED732D" w:rsidP="00ED732D">
      <w:pPr>
        <w:pStyle w:val="Sinespaciado"/>
        <w:rPr>
          <w:i/>
        </w:rPr>
      </w:pPr>
    </w:p>
    <w:p w14:paraId="3F70CEF7" w14:textId="77777777" w:rsidR="00ED732D" w:rsidRPr="006A6553" w:rsidRDefault="00ED732D" w:rsidP="00ED732D">
      <w:pPr>
        <w:pStyle w:val="Sinespaciado"/>
        <w:rPr>
          <w:i/>
        </w:rPr>
      </w:pPr>
      <w:r w:rsidRPr="006A6553">
        <w:rPr>
          <w:i/>
        </w:rPr>
        <w:t>Quien ejerza la representación legal de un organismo de acción comunal percibirá, para gastos de representación, ingresos u honorarios provenientes de los recursos propios generados por el organismo, previa reglamentación en estatutos y autorización de la asamblea respectiva. En el caso de los Presidentes de las juntas de acción comunal rurales y que no perciban ingresos u honorarios de parte del organismo comunal, podrán percibir honorarios provenientes de los ingresos corrientes de libre destinación que el distrito o municipio tenga establecidos en su respectivo presupuesto, sin que esto implique la existencia de una relación o vínculo laboral;</w:t>
      </w:r>
    </w:p>
    <w:p w14:paraId="65C0A721" w14:textId="77777777" w:rsidR="00ED732D" w:rsidRPr="006A6553" w:rsidRDefault="00ED732D" w:rsidP="00ED732D">
      <w:pPr>
        <w:pStyle w:val="Sinespaciado"/>
        <w:rPr>
          <w:i/>
        </w:rPr>
      </w:pPr>
    </w:p>
    <w:p w14:paraId="2AD88F2E" w14:textId="77777777" w:rsidR="00ED732D" w:rsidRPr="006A6553" w:rsidRDefault="00ED732D" w:rsidP="00ED732D">
      <w:pPr>
        <w:pStyle w:val="Sinespaciado"/>
      </w:pPr>
      <w:r w:rsidRPr="006A6553">
        <w:rPr>
          <w:b/>
        </w:rPr>
        <w:t>ARTÍCULO 1</w:t>
      </w:r>
      <w:r w:rsidR="000A1C35">
        <w:rPr>
          <w:b/>
        </w:rPr>
        <w:t>3</w:t>
      </w:r>
      <w:r w:rsidRPr="006A6553">
        <w:rPr>
          <w:b/>
        </w:rPr>
        <w:t>.  VIGENCIA</w:t>
      </w:r>
      <w:r w:rsidRPr="006A6553">
        <w:t>. La presente ley rige a partir de la fecha de su promulgación y deroga las demás normas que le sean contrarias.</w:t>
      </w:r>
    </w:p>
    <w:p w14:paraId="50F9AAA8" w14:textId="77777777" w:rsidR="001E07F3" w:rsidRPr="00992397" w:rsidRDefault="001E07F3" w:rsidP="001E07F3">
      <w:pPr>
        <w:pStyle w:val="Sinespaciado"/>
        <w:rPr>
          <w:rFonts w:eastAsia="Arial" w:cs="Arial"/>
          <w:b/>
          <w:sz w:val="21"/>
          <w:szCs w:val="21"/>
        </w:rPr>
      </w:pPr>
    </w:p>
    <w:p w14:paraId="1514CBCC" w14:textId="77777777" w:rsidR="003206AC" w:rsidRPr="00992397" w:rsidRDefault="003206AC" w:rsidP="003206AC">
      <w:pPr>
        <w:pStyle w:val="Sinespaciado"/>
        <w:rPr>
          <w:rFonts w:eastAsia="Arial Narrow" w:cs="Arial"/>
          <w:sz w:val="21"/>
          <w:szCs w:val="21"/>
        </w:rPr>
      </w:pPr>
    </w:p>
    <w:p w14:paraId="59DAFFA3" w14:textId="77777777" w:rsidR="003206AC" w:rsidRPr="00992397" w:rsidRDefault="003206AC" w:rsidP="003206AC">
      <w:pPr>
        <w:pStyle w:val="Sinespaciado"/>
        <w:rPr>
          <w:rFonts w:eastAsia="Arial Narrow" w:cs="Arial"/>
          <w:sz w:val="21"/>
          <w:szCs w:val="21"/>
        </w:rPr>
      </w:pPr>
    </w:p>
    <w:p w14:paraId="418E08B3" w14:textId="77777777" w:rsidR="003206AC" w:rsidRPr="00992397" w:rsidRDefault="003206AC" w:rsidP="003206AC">
      <w:pPr>
        <w:pStyle w:val="Sinespaciado"/>
        <w:rPr>
          <w:rFonts w:eastAsia="Arial" w:cs="Arial"/>
          <w:b/>
          <w:color w:val="000000"/>
          <w:sz w:val="21"/>
          <w:szCs w:val="21"/>
        </w:rPr>
      </w:pPr>
      <w:r w:rsidRPr="00992397">
        <w:rPr>
          <w:rFonts w:eastAsia="Arial" w:cs="Arial"/>
          <w:b/>
          <w:color w:val="000000"/>
          <w:sz w:val="21"/>
          <w:szCs w:val="21"/>
        </w:rPr>
        <w:br/>
      </w:r>
    </w:p>
    <w:p w14:paraId="00F097DE" w14:textId="77777777" w:rsidR="003206AC" w:rsidRPr="00992397" w:rsidRDefault="003206AC" w:rsidP="003206AC">
      <w:pPr>
        <w:pStyle w:val="Sinespaciado"/>
        <w:rPr>
          <w:rFonts w:eastAsia="Arial" w:cs="Arial"/>
          <w:b/>
          <w:color w:val="000000"/>
          <w:sz w:val="21"/>
          <w:szCs w:val="21"/>
        </w:rPr>
      </w:pPr>
    </w:p>
    <w:p w14:paraId="28FED526" w14:textId="3EAF2698" w:rsidR="003206AC" w:rsidRPr="00992397" w:rsidRDefault="00FF0DD6" w:rsidP="001E07F3">
      <w:pPr>
        <w:pStyle w:val="Sinespaciado"/>
        <w:jc w:val="center"/>
        <w:rPr>
          <w:rFonts w:eastAsia="Arial" w:cs="Arial"/>
          <w:b/>
          <w:bCs/>
          <w:color w:val="000000"/>
          <w:sz w:val="21"/>
          <w:szCs w:val="21"/>
        </w:rPr>
      </w:pPr>
      <w:r>
        <w:rPr>
          <w:rFonts w:eastAsia="Arial" w:cs="Arial"/>
          <w:b/>
          <w:color w:val="000000"/>
          <w:sz w:val="21"/>
          <w:szCs w:val="21"/>
        </w:rPr>
        <w:t>Martha Lisbeth Alfonso Jurado</w:t>
      </w:r>
      <w:r>
        <w:rPr>
          <w:rFonts w:eastAsia="Arial" w:cs="Arial"/>
          <w:b/>
          <w:color w:val="000000"/>
          <w:sz w:val="21"/>
          <w:szCs w:val="21"/>
        </w:rPr>
        <w:tab/>
      </w:r>
      <w:r w:rsidR="003206AC" w:rsidRPr="00992397">
        <w:rPr>
          <w:rFonts w:eastAsia="Arial" w:cs="Arial"/>
          <w:b/>
          <w:color w:val="000000"/>
          <w:sz w:val="21"/>
          <w:szCs w:val="21"/>
        </w:rPr>
        <w:tab/>
      </w:r>
      <w:r w:rsidR="003206AC" w:rsidRPr="00992397">
        <w:rPr>
          <w:rFonts w:eastAsia="Arial" w:cs="Arial"/>
          <w:b/>
          <w:color w:val="000000"/>
          <w:sz w:val="21"/>
          <w:szCs w:val="21"/>
        </w:rPr>
        <w:tab/>
      </w:r>
      <w:r w:rsidR="003206AC" w:rsidRPr="00992397">
        <w:rPr>
          <w:rFonts w:eastAsia="Arial" w:cs="Arial"/>
          <w:b/>
          <w:color w:val="000000"/>
          <w:sz w:val="21"/>
          <w:szCs w:val="21"/>
        </w:rPr>
        <w:tab/>
      </w:r>
      <w:r w:rsidR="001E07F3" w:rsidRPr="00992397">
        <w:rPr>
          <w:rFonts w:eastAsia="Arial" w:cs="Arial"/>
          <w:b/>
          <w:color w:val="000000"/>
          <w:sz w:val="21"/>
          <w:szCs w:val="21"/>
        </w:rPr>
        <w:t>Juan Ca</w:t>
      </w:r>
      <w:r w:rsidR="000A1C35">
        <w:rPr>
          <w:rFonts w:eastAsia="Arial" w:cs="Arial"/>
          <w:b/>
          <w:color w:val="000000"/>
          <w:sz w:val="21"/>
          <w:szCs w:val="21"/>
        </w:rPr>
        <w:t>rlos Vargas Soler</w:t>
      </w:r>
    </w:p>
    <w:p w14:paraId="5343E0CE" w14:textId="77777777" w:rsidR="001E07F3" w:rsidRPr="00992397" w:rsidRDefault="001E07F3" w:rsidP="001E07F3">
      <w:pPr>
        <w:pStyle w:val="Sinespaciado"/>
        <w:jc w:val="center"/>
        <w:rPr>
          <w:rFonts w:eastAsia="Arial" w:cs="Arial"/>
          <w:color w:val="000000"/>
          <w:sz w:val="21"/>
          <w:szCs w:val="21"/>
        </w:rPr>
      </w:pPr>
      <w:r w:rsidRPr="00992397">
        <w:rPr>
          <w:rFonts w:eastAsia="Arial" w:cs="Arial"/>
          <w:color w:val="000000"/>
          <w:sz w:val="21"/>
          <w:szCs w:val="21"/>
        </w:rPr>
        <w:t>Presidente</w:t>
      </w:r>
      <w:r w:rsidRPr="00992397">
        <w:rPr>
          <w:rFonts w:eastAsia="Arial" w:cs="Arial"/>
          <w:color w:val="000000"/>
          <w:sz w:val="21"/>
          <w:szCs w:val="21"/>
        </w:rPr>
        <w:tab/>
      </w:r>
      <w:r w:rsidRPr="00992397">
        <w:rPr>
          <w:rFonts w:eastAsia="Arial" w:cs="Arial"/>
          <w:color w:val="000000"/>
          <w:sz w:val="21"/>
          <w:szCs w:val="21"/>
        </w:rPr>
        <w:tab/>
      </w:r>
      <w:r w:rsidR="003206AC" w:rsidRPr="00992397">
        <w:rPr>
          <w:rFonts w:eastAsia="Arial" w:cs="Arial"/>
          <w:color w:val="000000"/>
          <w:sz w:val="21"/>
          <w:szCs w:val="21"/>
        </w:rPr>
        <w:tab/>
        <w:t xml:space="preserve">                                   </w:t>
      </w:r>
      <w:r w:rsidR="003206AC" w:rsidRPr="00992397">
        <w:rPr>
          <w:rFonts w:eastAsia="Arial" w:cs="Arial"/>
          <w:color w:val="000000"/>
          <w:sz w:val="21"/>
          <w:szCs w:val="21"/>
        </w:rPr>
        <w:tab/>
      </w:r>
      <w:r w:rsidR="003206AC" w:rsidRPr="00992397">
        <w:rPr>
          <w:rFonts w:eastAsia="Arial" w:cs="Arial"/>
          <w:color w:val="000000"/>
          <w:sz w:val="21"/>
          <w:szCs w:val="21"/>
        </w:rPr>
        <w:tab/>
      </w:r>
      <w:r w:rsidRPr="00992397">
        <w:rPr>
          <w:rFonts w:eastAsia="Arial" w:cs="Arial"/>
          <w:color w:val="000000"/>
          <w:sz w:val="21"/>
          <w:szCs w:val="21"/>
        </w:rPr>
        <w:t>Coordinador Ponente</w:t>
      </w:r>
    </w:p>
    <w:p w14:paraId="6E14278C" w14:textId="77777777" w:rsidR="001E07F3" w:rsidRPr="00992397" w:rsidRDefault="001E07F3" w:rsidP="001E07F3">
      <w:pPr>
        <w:pStyle w:val="Sinespaciado"/>
        <w:jc w:val="center"/>
        <w:rPr>
          <w:rFonts w:eastAsia="Arial" w:cs="Arial"/>
          <w:color w:val="000000"/>
          <w:sz w:val="21"/>
          <w:szCs w:val="21"/>
        </w:rPr>
      </w:pPr>
    </w:p>
    <w:p w14:paraId="163E0CD0" w14:textId="77777777" w:rsidR="001E07F3" w:rsidRPr="00992397" w:rsidRDefault="001E07F3" w:rsidP="001E07F3">
      <w:pPr>
        <w:pStyle w:val="Sinespaciado"/>
        <w:jc w:val="center"/>
        <w:rPr>
          <w:rFonts w:eastAsia="Arial" w:cs="Arial"/>
          <w:color w:val="000000"/>
          <w:sz w:val="21"/>
          <w:szCs w:val="21"/>
        </w:rPr>
      </w:pPr>
    </w:p>
    <w:p w14:paraId="657E5137" w14:textId="77777777" w:rsidR="001E07F3" w:rsidRPr="00992397" w:rsidRDefault="001E07F3" w:rsidP="001E07F3">
      <w:pPr>
        <w:pStyle w:val="Sinespaciado"/>
        <w:jc w:val="center"/>
        <w:rPr>
          <w:rFonts w:eastAsia="Arial" w:cs="Arial"/>
          <w:color w:val="000000"/>
          <w:sz w:val="21"/>
          <w:szCs w:val="21"/>
        </w:rPr>
      </w:pPr>
    </w:p>
    <w:p w14:paraId="39FE9A06" w14:textId="77777777" w:rsidR="001E07F3" w:rsidRPr="00992397" w:rsidRDefault="001E07F3" w:rsidP="001E07F3">
      <w:pPr>
        <w:pStyle w:val="Sinespaciado"/>
        <w:jc w:val="center"/>
        <w:rPr>
          <w:rFonts w:eastAsia="Arial" w:cs="Arial"/>
          <w:color w:val="000000"/>
          <w:sz w:val="21"/>
          <w:szCs w:val="21"/>
        </w:rPr>
      </w:pPr>
    </w:p>
    <w:p w14:paraId="7767B95C" w14:textId="77777777" w:rsidR="001E07F3" w:rsidRPr="00992397" w:rsidRDefault="001E07F3" w:rsidP="001E07F3">
      <w:pPr>
        <w:pStyle w:val="Sinespaciado"/>
        <w:jc w:val="center"/>
        <w:rPr>
          <w:rFonts w:eastAsia="Arial" w:cs="Arial"/>
          <w:color w:val="000000"/>
          <w:sz w:val="21"/>
          <w:szCs w:val="21"/>
        </w:rPr>
      </w:pPr>
    </w:p>
    <w:p w14:paraId="613EEED0" w14:textId="77777777" w:rsidR="003206AC" w:rsidRPr="00992397" w:rsidRDefault="001E07F3" w:rsidP="001E07F3">
      <w:pPr>
        <w:pStyle w:val="Sinespaciado"/>
        <w:jc w:val="center"/>
        <w:rPr>
          <w:rFonts w:eastAsia="Arial" w:cs="Arial"/>
          <w:b/>
          <w:color w:val="000000"/>
          <w:sz w:val="21"/>
          <w:szCs w:val="21"/>
        </w:rPr>
      </w:pPr>
      <w:r w:rsidRPr="00992397">
        <w:rPr>
          <w:rFonts w:eastAsia="Arial" w:cs="Arial"/>
          <w:b/>
          <w:color w:val="000000"/>
          <w:sz w:val="21"/>
          <w:szCs w:val="21"/>
        </w:rPr>
        <w:t>Ricardo Alfonso Albornoz Barreto</w:t>
      </w:r>
    </w:p>
    <w:p w14:paraId="465C8D16" w14:textId="60685CB3" w:rsidR="004D631D" w:rsidRDefault="001E07F3" w:rsidP="00992397">
      <w:pPr>
        <w:pStyle w:val="Sinespaciado"/>
        <w:jc w:val="center"/>
        <w:rPr>
          <w:rFonts w:eastAsia="Arial" w:cs="Arial"/>
          <w:color w:val="000000"/>
          <w:sz w:val="21"/>
          <w:szCs w:val="21"/>
        </w:rPr>
      </w:pPr>
      <w:r w:rsidRPr="00992397">
        <w:rPr>
          <w:rFonts w:eastAsia="Arial" w:cs="Arial"/>
          <w:color w:val="000000"/>
          <w:sz w:val="21"/>
          <w:szCs w:val="21"/>
        </w:rPr>
        <w:t>Secretario</w:t>
      </w:r>
    </w:p>
    <w:p w14:paraId="1EB923CF" w14:textId="3F9F7B70" w:rsidR="00FF0DD6" w:rsidRDefault="00FF0DD6" w:rsidP="00992397">
      <w:pPr>
        <w:pStyle w:val="Sinespaciado"/>
        <w:jc w:val="center"/>
        <w:rPr>
          <w:rFonts w:eastAsia="Arial" w:cs="Arial"/>
          <w:color w:val="000000"/>
          <w:sz w:val="21"/>
          <w:szCs w:val="21"/>
        </w:rPr>
      </w:pPr>
    </w:p>
    <w:p w14:paraId="644F5D37" w14:textId="53B7E58A" w:rsidR="00FF0DD6" w:rsidRDefault="00FF0DD6" w:rsidP="00992397">
      <w:pPr>
        <w:pStyle w:val="Sinespaciado"/>
        <w:jc w:val="center"/>
        <w:rPr>
          <w:rFonts w:eastAsia="Arial" w:cs="Arial"/>
          <w:color w:val="000000"/>
          <w:sz w:val="21"/>
          <w:szCs w:val="21"/>
        </w:rPr>
      </w:pPr>
    </w:p>
    <w:p w14:paraId="2E8E3817" w14:textId="77777777" w:rsidR="00FF0DD6" w:rsidRDefault="00FF0DD6" w:rsidP="00FF0DD6">
      <w:pPr>
        <w:pStyle w:val="Sinespaciado"/>
        <w:rPr>
          <w:rFonts w:eastAsia="Arial" w:cs="Arial"/>
          <w:color w:val="000000"/>
          <w:sz w:val="21"/>
          <w:szCs w:val="21"/>
        </w:rPr>
      </w:pPr>
    </w:p>
    <w:p w14:paraId="2BB238BB" w14:textId="77777777" w:rsidR="00FF0DD6" w:rsidRDefault="00FF0DD6" w:rsidP="00FF0DD6">
      <w:pPr>
        <w:pStyle w:val="Sinespaciado"/>
        <w:rPr>
          <w:rFonts w:eastAsia="Arial" w:cs="Arial"/>
          <w:color w:val="000000"/>
          <w:sz w:val="21"/>
          <w:szCs w:val="21"/>
        </w:rPr>
      </w:pPr>
    </w:p>
    <w:p w14:paraId="50EDC1D0" w14:textId="210A858D" w:rsidR="00FF0DD6" w:rsidRPr="00FF0DD6" w:rsidRDefault="00FF0DD6" w:rsidP="00FF0DD6">
      <w:pPr>
        <w:pStyle w:val="Sinespaciado"/>
        <w:ind w:firstLine="720"/>
        <w:rPr>
          <w:rFonts w:eastAsia="Arial"/>
          <w:color w:val="000000"/>
          <w:sz w:val="14"/>
          <w:szCs w:val="14"/>
        </w:rPr>
      </w:pPr>
      <w:r w:rsidRPr="00FF0DD6">
        <w:rPr>
          <w:rFonts w:eastAsia="Arial" w:cs="Arial"/>
          <w:color w:val="000000"/>
          <w:sz w:val="14"/>
          <w:szCs w:val="14"/>
        </w:rPr>
        <w:t>Inciso 2° del artículo 45 de la ley 5ª de 1992.</w:t>
      </w:r>
    </w:p>
    <w:sectPr w:rsidR="00FF0DD6" w:rsidRPr="00FF0DD6" w:rsidSect="00992397">
      <w:headerReference w:type="default" r:id="rId9"/>
      <w:footerReference w:type="default" r:id="rId10"/>
      <w:type w:val="continuous"/>
      <w:pgSz w:w="12240" w:h="15840" w:code="1"/>
      <w:pgMar w:top="1701" w:right="1021" w:bottom="624" w:left="158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2743" w14:textId="77777777" w:rsidR="005E0ABC" w:rsidRDefault="005E0ABC">
      <w:pPr>
        <w:spacing w:after="0" w:line="240" w:lineRule="auto"/>
      </w:pPr>
      <w:r>
        <w:separator/>
      </w:r>
    </w:p>
  </w:endnote>
  <w:endnote w:type="continuationSeparator" w:id="0">
    <w:p w14:paraId="0E592C60" w14:textId="77777777" w:rsidR="005E0ABC" w:rsidRDefault="005E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MT">
    <w:altName w:val="Arial"/>
    <w:charset w:val="01"/>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D51D" w14:textId="77777777"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7129CE">
      <w:rPr>
        <w:rFonts w:ascii="Arial" w:hAnsi="Arial" w:cs="Arial"/>
        <w:color w:val="4F81BD" w:themeColor="accent1"/>
        <w:sz w:val="16"/>
        <w:szCs w:val="16"/>
        <w:lang w:val="es-ES"/>
      </w:rPr>
      <w:t>081</w:t>
    </w:r>
    <w:r>
      <w:rPr>
        <w:rFonts w:ascii="Arial" w:hAnsi="Arial" w:cs="Arial"/>
        <w:color w:val="4F81BD" w:themeColor="accent1"/>
        <w:sz w:val="16"/>
        <w:szCs w:val="16"/>
        <w:lang w:val="es-ES"/>
      </w:rPr>
      <w:t xml:space="preserve"> de 202</w:t>
    </w:r>
    <w:r w:rsidR="007129CE">
      <w:rPr>
        <w:rFonts w:ascii="Arial" w:hAnsi="Arial" w:cs="Arial"/>
        <w:color w:val="4F81BD" w:themeColor="accent1"/>
        <w:sz w:val="16"/>
        <w:szCs w:val="16"/>
        <w:lang w:val="es-ES"/>
      </w:rPr>
      <w:t>4</w:t>
    </w:r>
    <w:r>
      <w:rPr>
        <w:rFonts w:ascii="Arial" w:hAnsi="Arial" w:cs="Arial"/>
        <w:color w:val="4F81BD" w:themeColor="accent1"/>
        <w:sz w:val="16"/>
        <w:szCs w:val="16"/>
        <w:lang w:val="es-ES"/>
      </w:rPr>
      <w:t xml:space="preserve">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0A1C35" w:rsidRPr="000A1C35">
      <w:rPr>
        <w:rFonts w:ascii="Arial" w:hAnsi="Arial" w:cs="Arial"/>
        <w:noProof/>
        <w:color w:val="4F81BD" w:themeColor="accent1"/>
        <w:sz w:val="16"/>
        <w:szCs w:val="16"/>
        <w:lang w:val="es-ES"/>
      </w:rPr>
      <w:t>4</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0A1C35" w:rsidRPr="000A1C35">
      <w:rPr>
        <w:rFonts w:ascii="Arial" w:hAnsi="Arial" w:cs="Arial"/>
        <w:noProof/>
        <w:color w:val="4F81BD" w:themeColor="accent1"/>
        <w:sz w:val="16"/>
        <w:szCs w:val="16"/>
        <w:lang w:val="es-ES"/>
      </w:rPr>
      <w:t>4</w:t>
    </w:r>
    <w:r w:rsidRPr="008A36E1">
      <w:rPr>
        <w:rFonts w:ascii="Arial" w:hAnsi="Arial" w:cs="Arial"/>
        <w:color w:val="4F81BD" w:themeColor="accent1"/>
        <w:sz w:val="16"/>
        <w:szCs w:val="16"/>
      </w:rPr>
      <w:fldChar w:fldCharType="end"/>
    </w:r>
  </w:p>
  <w:p w14:paraId="6A3E8DFA" w14:textId="77777777"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EBED" w14:textId="77777777" w:rsidR="005E0ABC" w:rsidRDefault="005E0ABC">
      <w:pPr>
        <w:spacing w:after="0" w:line="240" w:lineRule="auto"/>
      </w:pPr>
      <w:r>
        <w:separator/>
      </w:r>
    </w:p>
  </w:footnote>
  <w:footnote w:type="continuationSeparator" w:id="0">
    <w:p w14:paraId="1997A624" w14:textId="77777777" w:rsidR="005E0ABC" w:rsidRDefault="005E0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3E2A" w14:textId="77777777"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14:anchorId="57328DF3" wp14:editId="497C8D60">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4BA1854"/>
    <w:multiLevelType w:val="multilevel"/>
    <w:tmpl w:val="0CD00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711EE6"/>
    <w:multiLevelType w:val="multilevel"/>
    <w:tmpl w:val="18DC04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8"/>
  </w:num>
  <w:num w:numId="5">
    <w:abstractNumId w:val="8"/>
  </w:num>
  <w:num w:numId="6">
    <w:abstractNumId w:val="10"/>
  </w:num>
  <w:num w:numId="7">
    <w:abstractNumId w:val="1"/>
  </w:num>
  <w:num w:numId="8">
    <w:abstractNumId w:val="7"/>
  </w:num>
  <w:num w:numId="9">
    <w:abstractNumId w:val="22"/>
  </w:num>
  <w:num w:numId="10">
    <w:abstractNumId w:val="12"/>
  </w:num>
  <w:num w:numId="11">
    <w:abstractNumId w:val="3"/>
  </w:num>
  <w:num w:numId="12">
    <w:abstractNumId w:val="23"/>
  </w:num>
  <w:num w:numId="13">
    <w:abstractNumId w:val="19"/>
  </w:num>
  <w:num w:numId="14">
    <w:abstractNumId w:val="21"/>
  </w:num>
  <w:num w:numId="15">
    <w:abstractNumId w:val="15"/>
  </w:num>
  <w:num w:numId="16">
    <w:abstractNumId w:val="6"/>
  </w:num>
  <w:num w:numId="17">
    <w:abstractNumId w:val="13"/>
  </w:num>
  <w:num w:numId="18">
    <w:abstractNumId w:val="4"/>
  </w:num>
  <w:num w:numId="19">
    <w:abstractNumId w:val="11"/>
  </w:num>
  <w:num w:numId="20">
    <w:abstractNumId w:val="24"/>
  </w:num>
  <w:num w:numId="21">
    <w:abstractNumId w:val="20"/>
  </w:num>
  <w:num w:numId="22">
    <w:abstractNumId w:val="0"/>
  </w:num>
  <w:num w:numId="23">
    <w:abstractNumId w:val="14"/>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93"/>
    <w:rsid w:val="00004D26"/>
    <w:rsid w:val="00006060"/>
    <w:rsid w:val="000135D0"/>
    <w:rsid w:val="000218A0"/>
    <w:rsid w:val="00035A12"/>
    <w:rsid w:val="000A1C35"/>
    <w:rsid w:val="000D0321"/>
    <w:rsid w:val="000D4049"/>
    <w:rsid w:val="000D59FE"/>
    <w:rsid w:val="000F3249"/>
    <w:rsid w:val="000F3F41"/>
    <w:rsid w:val="00102AC9"/>
    <w:rsid w:val="00106067"/>
    <w:rsid w:val="001303C3"/>
    <w:rsid w:val="00134E23"/>
    <w:rsid w:val="00141A7E"/>
    <w:rsid w:val="00145732"/>
    <w:rsid w:val="00146C64"/>
    <w:rsid w:val="00180E10"/>
    <w:rsid w:val="001826C3"/>
    <w:rsid w:val="00193E1C"/>
    <w:rsid w:val="001B1C28"/>
    <w:rsid w:val="001B6E7B"/>
    <w:rsid w:val="001C10AB"/>
    <w:rsid w:val="001C6DF6"/>
    <w:rsid w:val="001E07F3"/>
    <w:rsid w:val="001F7A2A"/>
    <w:rsid w:val="00217B1E"/>
    <w:rsid w:val="00227978"/>
    <w:rsid w:val="00245986"/>
    <w:rsid w:val="00273C01"/>
    <w:rsid w:val="00290644"/>
    <w:rsid w:val="002A1BAF"/>
    <w:rsid w:val="002C21DA"/>
    <w:rsid w:val="002E6C1D"/>
    <w:rsid w:val="003206AC"/>
    <w:rsid w:val="00330383"/>
    <w:rsid w:val="00332B24"/>
    <w:rsid w:val="00344B4D"/>
    <w:rsid w:val="00374FCF"/>
    <w:rsid w:val="00375224"/>
    <w:rsid w:val="00392FE1"/>
    <w:rsid w:val="003B3F8A"/>
    <w:rsid w:val="003C3541"/>
    <w:rsid w:val="003C5D20"/>
    <w:rsid w:val="003D08DE"/>
    <w:rsid w:val="00401837"/>
    <w:rsid w:val="004245B0"/>
    <w:rsid w:val="00484475"/>
    <w:rsid w:val="0049721E"/>
    <w:rsid w:val="004B0124"/>
    <w:rsid w:val="004D631D"/>
    <w:rsid w:val="004F0BC8"/>
    <w:rsid w:val="005004BD"/>
    <w:rsid w:val="00523CF6"/>
    <w:rsid w:val="00533F5F"/>
    <w:rsid w:val="00545AF9"/>
    <w:rsid w:val="0057061D"/>
    <w:rsid w:val="005970FF"/>
    <w:rsid w:val="005B79B2"/>
    <w:rsid w:val="005C4915"/>
    <w:rsid w:val="005E0ABC"/>
    <w:rsid w:val="006020FC"/>
    <w:rsid w:val="00644D12"/>
    <w:rsid w:val="00645D96"/>
    <w:rsid w:val="0066551C"/>
    <w:rsid w:val="00676A02"/>
    <w:rsid w:val="00697B3A"/>
    <w:rsid w:val="006A6E00"/>
    <w:rsid w:val="006A6E52"/>
    <w:rsid w:val="006D531F"/>
    <w:rsid w:val="006E594C"/>
    <w:rsid w:val="00703BB5"/>
    <w:rsid w:val="007129CE"/>
    <w:rsid w:val="00722B7D"/>
    <w:rsid w:val="00745DA4"/>
    <w:rsid w:val="00751A35"/>
    <w:rsid w:val="007534E3"/>
    <w:rsid w:val="00767847"/>
    <w:rsid w:val="00780935"/>
    <w:rsid w:val="00793F4D"/>
    <w:rsid w:val="007D2959"/>
    <w:rsid w:val="007D2F62"/>
    <w:rsid w:val="007D3C92"/>
    <w:rsid w:val="007F0D11"/>
    <w:rsid w:val="0080316C"/>
    <w:rsid w:val="0083265E"/>
    <w:rsid w:val="00856BE4"/>
    <w:rsid w:val="008571E9"/>
    <w:rsid w:val="008654CA"/>
    <w:rsid w:val="00874E4E"/>
    <w:rsid w:val="008A36E1"/>
    <w:rsid w:val="008A4907"/>
    <w:rsid w:val="008A4A9B"/>
    <w:rsid w:val="008C5481"/>
    <w:rsid w:val="008E2412"/>
    <w:rsid w:val="008E689B"/>
    <w:rsid w:val="008F518D"/>
    <w:rsid w:val="00900D93"/>
    <w:rsid w:val="00931B69"/>
    <w:rsid w:val="00980D46"/>
    <w:rsid w:val="00984A08"/>
    <w:rsid w:val="00992397"/>
    <w:rsid w:val="009A5477"/>
    <w:rsid w:val="009B5502"/>
    <w:rsid w:val="009E1B8B"/>
    <w:rsid w:val="009E3F42"/>
    <w:rsid w:val="00A10DC4"/>
    <w:rsid w:val="00A16412"/>
    <w:rsid w:val="00A260C7"/>
    <w:rsid w:val="00A27D65"/>
    <w:rsid w:val="00A549FD"/>
    <w:rsid w:val="00A5673E"/>
    <w:rsid w:val="00AA5167"/>
    <w:rsid w:val="00AC09C4"/>
    <w:rsid w:val="00AC2952"/>
    <w:rsid w:val="00AF4493"/>
    <w:rsid w:val="00AF47C1"/>
    <w:rsid w:val="00B31264"/>
    <w:rsid w:val="00B4204B"/>
    <w:rsid w:val="00B47081"/>
    <w:rsid w:val="00B57363"/>
    <w:rsid w:val="00B61831"/>
    <w:rsid w:val="00B94C52"/>
    <w:rsid w:val="00BA2504"/>
    <w:rsid w:val="00BA6354"/>
    <w:rsid w:val="00BD3B0E"/>
    <w:rsid w:val="00BF038C"/>
    <w:rsid w:val="00BF32C7"/>
    <w:rsid w:val="00BF5872"/>
    <w:rsid w:val="00BF5DE4"/>
    <w:rsid w:val="00C04298"/>
    <w:rsid w:val="00C0783C"/>
    <w:rsid w:val="00C10A0F"/>
    <w:rsid w:val="00C24F1B"/>
    <w:rsid w:val="00C25E24"/>
    <w:rsid w:val="00C64587"/>
    <w:rsid w:val="00C85EE9"/>
    <w:rsid w:val="00CA7A0C"/>
    <w:rsid w:val="00D16302"/>
    <w:rsid w:val="00D410FE"/>
    <w:rsid w:val="00D65C9D"/>
    <w:rsid w:val="00D7060A"/>
    <w:rsid w:val="00D7787B"/>
    <w:rsid w:val="00DC1FF5"/>
    <w:rsid w:val="00E02D4A"/>
    <w:rsid w:val="00E2082D"/>
    <w:rsid w:val="00E27292"/>
    <w:rsid w:val="00E62BF1"/>
    <w:rsid w:val="00EB3579"/>
    <w:rsid w:val="00ED4980"/>
    <w:rsid w:val="00ED732D"/>
    <w:rsid w:val="00EF5B1B"/>
    <w:rsid w:val="00F04E2C"/>
    <w:rsid w:val="00F25E2F"/>
    <w:rsid w:val="00F42CA9"/>
    <w:rsid w:val="00F50D3E"/>
    <w:rsid w:val="00F66F0B"/>
    <w:rsid w:val="00F67029"/>
    <w:rsid w:val="00F67633"/>
    <w:rsid w:val="00F718B4"/>
    <w:rsid w:val="00F94622"/>
    <w:rsid w:val="00FC1DEF"/>
    <w:rsid w:val="00FF0DD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B1B3"/>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Props1.xml><?xml version="1.0" encoding="utf-8"?>
<ds:datastoreItem xmlns:ds="http://schemas.openxmlformats.org/officeDocument/2006/customXml" ds:itemID="{7530204A-86B8-4979-B5C9-48CEBC2BFD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1794</Words>
  <Characters>9868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7</cp:revision>
  <cp:lastPrinted>2022-11-28T15:09:00Z</cp:lastPrinted>
  <dcterms:created xsi:type="dcterms:W3CDTF">2025-06-03T21:02:00Z</dcterms:created>
  <dcterms:modified xsi:type="dcterms:W3CDTF">2025-06-10T20:12:00Z</dcterms:modified>
</cp:coreProperties>
</file>